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A4" w:rsidRPr="00AB04A4" w:rsidRDefault="00AB04A4" w:rsidP="00AB04A4">
      <w:pPr>
        <w:shd w:val="clear" w:color="auto" w:fill="FDFDFD"/>
        <w:spacing w:line="600" w:lineRule="atLeast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r w:rsidRPr="00AB04A4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Контактная информация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Телефоны «горячей линии» Федеральной Службы по надзору в сфере образования и науки (РОСОБРНАДЗОРА) по вопросам подготовки и проведения ЕГЭ: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+7 (495) 984-89-19,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телефон доверия ЕГЭ +7 (495) 104-68-38</w:t>
      </w:r>
    </w:p>
    <w:p w:rsidR="00AB04A4" w:rsidRPr="00AB04A4" w:rsidRDefault="00AB04A4" w:rsidP="00AB04A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Адрес доверия: </w:t>
      </w:r>
      <w:hyperlink r:id="rId6" w:history="1">
        <w:r w:rsidRPr="00AB04A4">
          <w:rPr>
            <w:rFonts w:ascii="Segoe UI" w:eastAsia="Times New Roman" w:hAnsi="Segoe UI" w:cs="Segoe UI"/>
            <w:color w:val="007AD0"/>
            <w:sz w:val="36"/>
            <w:szCs w:val="36"/>
            <w:u w:val="single"/>
            <w:lang w:eastAsia="ru-RU"/>
          </w:rPr>
          <w:t>ege@obrnadzor.gov.ru</w:t>
        </w:r>
      </w:hyperlink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Телефоны «горячей линии» ЕГЭ и ОГЭ в Свердловской области: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8 (343) 312-02-23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8 (982) 720-06-76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8 (343) 312-00-04 (добавочные 090, 091, 094)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8 (908) 90-81-365</w:t>
      </w: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8 (950) 64-77-093</w:t>
      </w:r>
    </w:p>
    <w:p w:rsidR="00AB04A4" w:rsidRPr="00AB04A4" w:rsidRDefault="00AB04A4" w:rsidP="00AB04A4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B04A4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8 (950) 64-76-112 </w:t>
      </w:r>
    </w:p>
    <w:p w:rsid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</w:pPr>
      <w:r w:rsidRPr="00AB04A4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 xml:space="preserve">Телефоны «горячей линии» </w:t>
      </w:r>
      <w:r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ЕГЭ и ОГЭ в Бисертском городском округе</w:t>
      </w:r>
      <w:r w:rsidRPr="00AB04A4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:</w:t>
      </w:r>
    </w:p>
    <w:p w:rsid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8(343) 986-17-38</w:t>
      </w:r>
    </w:p>
    <w:p w:rsid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8(343) 986-16-70</w:t>
      </w:r>
    </w:p>
    <w:p w:rsid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8(982) 623-12-30</w:t>
      </w:r>
    </w:p>
    <w:p w:rsid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8(902) 877-88-4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0</w:t>
      </w:r>
    </w:p>
    <w:p w:rsid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</w:pPr>
    </w:p>
    <w:p w:rsidR="00AB04A4" w:rsidRPr="00AB04A4" w:rsidRDefault="00AB04A4" w:rsidP="00AB04A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</w:p>
    <w:p w:rsidR="00BF1E5C" w:rsidRDefault="00BF1E5C" w:rsidP="00AB04A4"/>
    <w:sectPr w:rsidR="00BF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6497"/>
    <w:multiLevelType w:val="hybridMultilevel"/>
    <w:tmpl w:val="EBEED260"/>
    <w:lvl w:ilvl="0" w:tplc="809EA7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4"/>
    <w:rsid w:val="00AB04A4"/>
    <w:rsid w:val="00B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4A4"/>
    <w:rPr>
      <w:b/>
      <w:bCs/>
    </w:rPr>
  </w:style>
  <w:style w:type="character" w:styleId="a5">
    <w:name w:val="Hyperlink"/>
    <w:basedOn w:val="a0"/>
    <w:uiPriority w:val="99"/>
    <w:semiHidden/>
    <w:unhideWhenUsed/>
    <w:rsid w:val="00AB04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0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4A4"/>
    <w:rPr>
      <w:b/>
      <w:bCs/>
    </w:rPr>
  </w:style>
  <w:style w:type="character" w:styleId="a5">
    <w:name w:val="Hyperlink"/>
    <w:basedOn w:val="a0"/>
    <w:uiPriority w:val="99"/>
    <w:semiHidden/>
    <w:unhideWhenUsed/>
    <w:rsid w:val="00AB04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@obrnadzo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Контактная информация</vt:lpstr>
    </vt:vector>
  </TitlesOfParts>
  <Company>Krokoz™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2023-12-15T03:39:00Z</dcterms:created>
  <dcterms:modified xsi:type="dcterms:W3CDTF">2023-12-15T03:44:00Z</dcterms:modified>
</cp:coreProperties>
</file>